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20DB" w:rsidP="365A0218" w:rsidRDefault="59C259A6" w14:paraId="53AABAA0" w14:textId="50AA3DE8">
      <w:pPr>
        <w:pStyle w:val="Ttulo3"/>
        <w:spacing w:before="281" w:after="281"/>
        <w:jc w:val="center"/>
        <w:rPr>
          <w:rFonts w:eastAsiaTheme="minorEastAsia" w:cstheme="minorBidi"/>
          <w:b/>
          <w:bCs/>
          <w:color w:val="auto"/>
          <w:sz w:val="36"/>
          <w:szCs w:val="36"/>
        </w:rPr>
      </w:pPr>
      <w:r w:rsidRPr="365A0218">
        <w:rPr>
          <w:rFonts w:eastAsiaTheme="minorEastAsia" w:cstheme="minorBidi"/>
          <w:b/>
          <w:bCs/>
          <w:color w:val="auto"/>
          <w:sz w:val="36"/>
          <w:szCs w:val="36"/>
        </w:rPr>
        <w:t xml:space="preserve">Otro "golpe" a Temu y </w:t>
      </w:r>
      <w:proofErr w:type="spellStart"/>
      <w:r w:rsidRPr="365A0218">
        <w:rPr>
          <w:rFonts w:eastAsiaTheme="minorEastAsia" w:cstheme="minorBidi"/>
          <w:b/>
          <w:bCs/>
          <w:color w:val="auto"/>
          <w:sz w:val="36"/>
          <w:szCs w:val="36"/>
        </w:rPr>
        <w:t>Shein</w:t>
      </w:r>
      <w:proofErr w:type="spellEnd"/>
      <w:r w:rsidRPr="365A0218">
        <w:rPr>
          <w:rFonts w:eastAsiaTheme="minorEastAsia" w:cstheme="minorBidi"/>
          <w:b/>
          <w:bCs/>
          <w:color w:val="auto"/>
          <w:sz w:val="36"/>
          <w:szCs w:val="36"/>
        </w:rPr>
        <w:t xml:space="preserve">: ¿dejarán de ser los </w:t>
      </w:r>
      <w:proofErr w:type="spellStart"/>
      <w:r w:rsidRPr="365A0218">
        <w:rPr>
          <w:rFonts w:eastAsiaTheme="minorEastAsia" w:cstheme="minorBidi"/>
          <w:b/>
          <w:bCs/>
          <w:color w:val="auto"/>
          <w:sz w:val="36"/>
          <w:szCs w:val="36"/>
        </w:rPr>
        <w:t>marketplaces</w:t>
      </w:r>
      <w:proofErr w:type="spellEnd"/>
      <w:r w:rsidRPr="365A0218">
        <w:rPr>
          <w:rFonts w:eastAsiaTheme="minorEastAsia" w:cstheme="minorBidi"/>
          <w:b/>
          <w:bCs/>
          <w:color w:val="auto"/>
          <w:sz w:val="36"/>
          <w:szCs w:val="36"/>
        </w:rPr>
        <w:t xml:space="preserve"> económicos por excelencia?</w:t>
      </w:r>
    </w:p>
    <w:p w:rsidR="005C20DB" w:rsidP="02A44F0E" w:rsidRDefault="59C259A6" w14:paraId="0D75A1BA" w14:textId="12DD8B3E">
      <w:pPr>
        <w:spacing w:before="240" w:after="240"/>
        <w:jc w:val="both"/>
        <w:rPr>
          <w:rFonts w:ascii="Aptos" w:hAnsi="Aptos" w:eastAsia="Aptos" w:cs="Aptos"/>
        </w:rPr>
      </w:pPr>
      <w:r w:rsidRPr="21503EBE" w:rsidR="4E8A792C">
        <w:rPr>
          <w:rFonts w:ascii="Aptos" w:hAnsi="Aptos" w:eastAsia="Aptos" w:cs="Aptos"/>
        </w:rPr>
        <w:t>El pasado 15 de agosto,</w:t>
      </w:r>
      <w:r w:rsidRPr="21503EBE" w:rsidR="59C259A6">
        <w:rPr>
          <w:rFonts w:ascii="Aptos" w:hAnsi="Aptos" w:eastAsia="Aptos" w:cs="Aptos"/>
        </w:rPr>
        <w:t xml:space="preserve"> los productos importados desde países sin acuerdo comercial con México —como China— enfrent</w:t>
      </w:r>
      <w:r w:rsidRPr="21503EBE" w:rsidR="08051624">
        <w:rPr>
          <w:rFonts w:ascii="Aptos" w:hAnsi="Aptos" w:eastAsia="Aptos" w:cs="Aptos"/>
        </w:rPr>
        <w:t>an</w:t>
      </w:r>
      <w:r w:rsidRPr="21503EBE" w:rsidR="59C259A6">
        <w:rPr>
          <w:rFonts w:ascii="Aptos" w:hAnsi="Aptos" w:eastAsia="Aptos" w:cs="Aptos"/>
        </w:rPr>
        <w:t xml:space="preserve"> un nuevo incremento en aranceles: pasar</w:t>
      </w:r>
      <w:r w:rsidRPr="21503EBE" w:rsidR="5331D00A">
        <w:rPr>
          <w:rFonts w:ascii="Aptos" w:hAnsi="Aptos" w:eastAsia="Aptos" w:cs="Aptos"/>
        </w:rPr>
        <w:t>on</w:t>
      </w:r>
      <w:r w:rsidRPr="21503EBE" w:rsidR="59C259A6">
        <w:rPr>
          <w:rFonts w:ascii="Aptos" w:hAnsi="Aptos" w:eastAsia="Aptos" w:cs="Aptos"/>
        </w:rPr>
        <w:t xml:space="preserve"> del 19 % al </w:t>
      </w:r>
      <w:r w:rsidRPr="21503EBE" w:rsidR="59C259A6">
        <w:rPr>
          <w:rFonts w:ascii="Aptos" w:hAnsi="Aptos" w:eastAsia="Aptos" w:cs="Aptos"/>
          <w:b w:val="1"/>
          <w:bCs w:val="1"/>
        </w:rPr>
        <w:t>33.5 %</w:t>
      </w:r>
      <w:r w:rsidRPr="21503EBE" w:rsidR="59C259A6">
        <w:rPr>
          <w:rFonts w:ascii="Aptos" w:hAnsi="Aptos" w:eastAsia="Aptos" w:cs="Aptos"/>
        </w:rPr>
        <w:t xml:space="preserve"> para operaciones realizadas vía paquetería o mensajería exprés. </w:t>
      </w:r>
    </w:p>
    <w:p w:rsidR="005C20DB" w:rsidP="02A44F0E" w:rsidRDefault="59C259A6" w14:paraId="3C3BA1D1" w14:textId="25576C61">
      <w:pPr>
        <w:spacing w:before="240" w:after="240"/>
        <w:jc w:val="both"/>
        <w:rPr>
          <w:rFonts w:ascii="Aptos" w:hAnsi="Aptos" w:eastAsia="Aptos" w:cs="Aptos"/>
          <w:b/>
          <w:bCs/>
        </w:rPr>
      </w:pPr>
      <w:r w:rsidRPr="02A44F0E">
        <w:rPr>
          <w:rFonts w:ascii="Aptos" w:hAnsi="Aptos" w:eastAsia="Aptos" w:cs="Aptos"/>
        </w:rPr>
        <w:t xml:space="preserve">La medida, publicada en las </w:t>
      </w:r>
      <w:hyperlink r:id="rId10">
        <w:r w:rsidRPr="02A44F0E">
          <w:rPr>
            <w:rStyle w:val="Hipervnculo"/>
            <w:rFonts w:ascii="Aptos" w:hAnsi="Aptos" w:eastAsia="Aptos" w:cs="Aptos"/>
          </w:rPr>
          <w:t>Reglas Generales de Comercio Exterior del SAT y en el Diario Oficial de la Federación,</w:t>
        </w:r>
      </w:hyperlink>
      <w:r w:rsidRPr="02A44F0E">
        <w:rPr>
          <w:rFonts w:ascii="Aptos" w:hAnsi="Aptos" w:eastAsia="Aptos" w:cs="Aptos"/>
        </w:rPr>
        <w:t xml:space="preserve"> forma parte de una estrategia de contención económica que busca fortalecer la producción nacional frente a plataformas extranjeras que hoy dominan el consumo en línea, </w:t>
      </w:r>
      <w:r w:rsidRPr="02A44F0E" w:rsidR="29C695B7">
        <w:rPr>
          <w:rFonts w:ascii="Aptos" w:hAnsi="Aptos" w:eastAsia="Aptos" w:cs="Aptos"/>
        </w:rPr>
        <w:t xml:space="preserve">tales </w:t>
      </w:r>
      <w:r w:rsidRPr="02A44F0E">
        <w:rPr>
          <w:rFonts w:ascii="Aptos" w:hAnsi="Aptos" w:eastAsia="Aptos" w:cs="Aptos"/>
        </w:rPr>
        <w:t xml:space="preserve">como </w:t>
      </w:r>
      <w:r w:rsidRPr="02A44F0E">
        <w:rPr>
          <w:rFonts w:ascii="Aptos" w:hAnsi="Aptos" w:eastAsia="Aptos" w:cs="Aptos"/>
          <w:b/>
          <w:bCs/>
        </w:rPr>
        <w:t>Temu</w:t>
      </w:r>
      <w:r w:rsidRPr="02A44F0E">
        <w:rPr>
          <w:rFonts w:ascii="Aptos" w:hAnsi="Aptos" w:eastAsia="Aptos" w:cs="Aptos"/>
        </w:rPr>
        <w:t xml:space="preserve"> y </w:t>
      </w:r>
      <w:proofErr w:type="spellStart"/>
      <w:r w:rsidRPr="02A44F0E">
        <w:rPr>
          <w:rFonts w:ascii="Aptos" w:hAnsi="Aptos" w:eastAsia="Aptos" w:cs="Aptos"/>
          <w:b/>
          <w:bCs/>
        </w:rPr>
        <w:t>Shein</w:t>
      </w:r>
      <w:proofErr w:type="spellEnd"/>
      <w:r w:rsidRPr="02A44F0E" w:rsidR="69858F9D">
        <w:rPr>
          <w:rFonts w:ascii="Aptos" w:hAnsi="Aptos" w:eastAsia="Aptos" w:cs="Aptos"/>
          <w:b/>
          <w:bCs/>
        </w:rPr>
        <w:t xml:space="preserve">. </w:t>
      </w:r>
      <w:r w:rsidRPr="02A44F0E" w:rsidR="69858F9D">
        <w:rPr>
          <w:rFonts w:ascii="Aptos" w:hAnsi="Aptos" w:eastAsia="Aptos" w:cs="Aptos"/>
        </w:rPr>
        <w:t xml:space="preserve">Que registran incrementos de </w:t>
      </w:r>
      <w:hyperlink r:id="rId11">
        <w:r w:rsidRPr="02A44F0E" w:rsidR="69858F9D">
          <w:rPr>
            <w:rStyle w:val="Hipervnculo"/>
            <w:rFonts w:ascii="Aptos" w:hAnsi="Aptos" w:eastAsia="Aptos" w:cs="Aptos"/>
          </w:rPr>
          <w:t>hasta 614%</w:t>
        </w:r>
      </w:hyperlink>
      <w:r w:rsidRPr="02A44F0E" w:rsidR="69858F9D">
        <w:rPr>
          <w:rFonts w:ascii="Aptos" w:hAnsi="Aptos" w:eastAsia="Aptos" w:cs="Aptos"/>
        </w:rPr>
        <w:t xml:space="preserve"> en sus usuarios, en un año.</w:t>
      </w:r>
    </w:p>
    <w:p w:rsidR="005C20DB" w:rsidP="02A44F0E" w:rsidRDefault="27DB5C75" w14:paraId="443A9E4F" w14:textId="621DB7A9">
      <w:pPr>
        <w:spacing w:before="240" w:after="240"/>
        <w:jc w:val="both"/>
        <w:rPr>
          <w:rFonts w:ascii="Aptos" w:hAnsi="Aptos" w:eastAsia="Aptos" w:cs="Aptos"/>
        </w:rPr>
      </w:pPr>
      <w:r w:rsidRPr="577B95A6" w:rsidR="27DB5C75">
        <w:rPr>
          <w:rFonts w:ascii="Aptos" w:hAnsi="Aptos" w:eastAsia="Aptos" w:cs="Aptos"/>
        </w:rPr>
        <w:t xml:space="preserve">De acuerdo con Ilan </w:t>
      </w:r>
      <w:r w:rsidRPr="577B95A6" w:rsidR="27DB5C75">
        <w:rPr>
          <w:rFonts w:ascii="Aptos" w:hAnsi="Aptos" w:eastAsia="Aptos" w:cs="Aptos"/>
        </w:rPr>
        <w:t>Epelbaum</w:t>
      </w:r>
      <w:r w:rsidRPr="577B95A6" w:rsidR="27DB5C75">
        <w:rPr>
          <w:rFonts w:ascii="Aptos" w:hAnsi="Aptos" w:eastAsia="Aptos" w:cs="Aptos"/>
        </w:rPr>
        <w:t xml:space="preserve">, director general de Mail Boxes </w:t>
      </w:r>
      <w:r w:rsidRPr="577B95A6" w:rsidR="27DB5C75">
        <w:rPr>
          <w:rFonts w:ascii="Aptos" w:hAnsi="Aptos" w:eastAsia="Aptos" w:cs="Aptos"/>
        </w:rPr>
        <w:t>Etc</w:t>
      </w:r>
      <w:r w:rsidRPr="577B95A6" w:rsidR="27DB5C75">
        <w:rPr>
          <w:rFonts w:ascii="Aptos" w:hAnsi="Aptos" w:eastAsia="Aptos" w:cs="Aptos"/>
        </w:rPr>
        <w:t xml:space="preserve"> en México, esto podría tener como </w:t>
      </w:r>
      <w:r w:rsidRPr="577B95A6" w:rsidR="59C259A6">
        <w:rPr>
          <w:rFonts w:ascii="Aptos" w:hAnsi="Aptos" w:eastAsia="Aptos" w:cs="Aptos"/>
        </w:rPr>
        <w:t xml:space="preserve">consecuencia directa que cada vez se </w:t>
      </w:r>
      <w:r w:rsidRPr="577B95A6" w:rsidR="44510592">
        <w:rPr>
          <w:rFonts w:ascii="Aptos" w:hAnsi="Aptos" w:eastAsia="Aptos" w:cs="Aptos"/>
        </w:rPr>
        <w:t>vea más reducido</w:t>
      </w:r>
      <w:r w:rsidRPr="577B95A6" w:rsidR="59C259A6">
        <w:rPr>
          <w:rFonts w:ascii="Aptos" w:hAnsi="Aptos" w:eastAsia="Aptos" w:cs="Aptos"/>
        </w:rPr>
        <w:t xml:space="preserve"> el margen que hace viables los precios </w:t>
      </w:r>
      <w:r w:rsidRPr="577B95A6" w:rsidR="077844E7">
        <w:rPr>
          <w:rFonts w:ascii="Aptos" w:hAnsi="Aptos" w:eastAsia="Aptos" w:cs="Aptos"/>
        </w:rPr>
        <w:t>ultra competitivos</w:t>
      </w:r>
      <w:r w:rsidRPr="577B95A6" w:rsidR="59C259A6">
        <w:rPr>
          <w:rFonts w:ascii="Aptos" w:hAnsi="Aptos" w:eastAsia="Aptos" w:cs="Aptos"/>
        </w:rPr>
        <w:t xml:space="preserve"> que han caracterizado a estos </w:t>
      </w:r>
      <w:r w:rsidRPr="577B95A6" w:rsidR="59C259A6">
        <w:rPr>
          <w:rFonts w:ascii="Aptos" w:hAnsi="Aptos" w:eastAsia="Aptos" w:cs="Aptos"/>
        </w:rPr>
        <w:t>marketplaces</w:t>
      </w:r>
      <w:r w:rsidRPr="577B95A6" w:rsidR="59C259A6">
        <w:rPr>
          <w:rFonts w:ascii="Aptos" w:hAnsi="Aptos" w:eastAsia="Aptos" w:cs="Aptos"/>
        </w:rPr>
        <w:t>.</w:t>
      </w:r>
    </w:p>
    <w:p w:rsidR="005C20DB" w:rsidP="02A44F0E" w:rsidRDefault="59C259A6" w14:paraId="6DFED88D" w14:textId="4BAF90EB">
      <w:pPr>
        <w:spacing w:before="240" w:after="240"/>
        <w:jc w:val="both"/>
        <w:rPr>
          <w:rFonts w:ascii="Aptos" w:hAnsi="Aptos" w:eastAsia="Aptos" w:cs="Aptos"/>
        </w:rPr>
      </w:pPr>
      <w:r w:rsidRPr="02A44F0E">
        <w:rPr>
          <w:rFonts w:ascii="Aptos" w:hAnsi="Aptos" w:eastAsia="Aptos" w:cs="Aptos"/>
        </w:rPr>
        <w:t>“</w:t>
      </w:r>
      <w:r w:rsidRPr="02A44F0E">
        <w:rPr>
          <w:rFonts w:ascii="Aptos" w:hAnsi="Aptos" w:eastAsia="Aptos" w:cs="Aptos"/>
          <w:i/>
          <w:iCs/>
        </w:rPr>
        <w:t>Estamos viendo el inicio de una nueva etapa en la logística del comercio electrónico transfronterizo. Para muchas plataformas que operaban bajo modelos de bajo costo, el incremento en aranceles cambia completamente el panorama operativo, los tiempos de entrega y, sobre todo, los precios finales al consumidor”,</w:t>
      </w:r>
      <w:r w:rsidRPr="02A44F0E">
        <w:rPr>
          <w:rFonts w:ascii="Aptos" w:hAnsi="Aptos" w:eastAsia="Aptos" w:cs="Aptos"/>
        </w:rPr>
        <w:t xml:space="preserve"> explica </w:t>
      </w:r>
      <w:r w:rsidRPr="02A44F0E">
        <w:rPr>
          <w:rFonts w:ascii="Aptos" w:hAnsi="Aptos" w:eastAsia="Aptos" w:cs="Aptos"/>
          <w:b/>
          <w:bCs/>
        </w:rPr>
        <w:t xml:space="preserve">Ilan </w:t>
      </w:r>
      <w:proofErr w:type="spellStart"/>
      <w:r w:rsidRPr="02A44F0E">
        <w:rPr>
          <w:rFonts w:ascii="Aptos" w:hAnsi="Aptos" w:eastAsia="Aptos" w:cs="Aptos"/>
          <w:b/>
          <w:bCs/>
        </w:rPr>
        <w:t>Epelbaum</w:t>
      </w:r>
      <w:proofErr w:type="spellEnd"/>
      <w:r w:rsidRPr="02A44F0E">
        <w:rPr>
          <w:rFonts w:ascii="Aptos" w:hAnsi="Aptos" w:eastAsia="Aptos" w:cs="Aptos"/>
        </w:rPr>
        <w:t xml:space="preserve">, director general de </w:t>
      </w:r>
      <w:r w:rsidRPr="02A44F0E">
        <w:rPr>
          <w:rFonts w:ascii="Aptos" w:hAnsi="Aptos" w:eastAsia="Aptos" w:cs="Aptos"/>
          <w:b/>
          <w:bCs/>
        </w:rPr>
        <w:t>Mail Boxes Etc. México</w:t>
      </w:r>
      <w:r w:rsidRPr="02A44F0E">
        <w:rPr>
          <w:rFonts w:ascii="Aptos" w:hAnsi="Aptos" w:eastAsia="Aptos" w:cs="Aptos"/>
        </w:rPr>
        <w:t>.</w:t>
      </w:r>
    </w:p>
    <w:p w:rsidRPr="00077B57" w:rsidR="005C20DB" w:rsidP="02A44F0E" w:rsidRDefault="59C259A6" w14:paraId="0FCCC477" w14:textId="19E0B262">
      <w:pPr>
        <w:pStyle w:val="Ttulo3"/>
        <w:numPr>
          <w:ilvl w:val="0"/>
          <w:numId w:val="2"/>
        </w:numPr>
        <w:spacing w:before="281" w:after="281"/>
        <w:jc w:val="both"/>
        <w:rPr>
          <w:rFonts w:ascii="Aptos" w:hAnsi="Aptos" w:eastAsia="Aptos" w:cs="Aptos"/>
          <w:b/>
          <w:bCs/>
          <w:color w:val="000000" w:themeColor="text1"/>
        </w:rPr>
      </w:pPr>
      <w:r w:rsidRPr="00077B57">
        <w:rPr>
          <w:rFonts w:ascii="Aptos" w:hAnsi="Aptos" w:eastAsia="Aptos" w:cs="Aptos"/>
          <w:b/>
          <w:bCs/>
          <w:color w:val="000000" w:themeColor="text1"/>
        </w:rPr>
        <w:t>¿Un nuevo escenario para el e-</w:t>
      </w:r>
      <w:proofErr w:type="spellStart"/>
      <w:r w:rsidRPr="00077B57">
        <w:rPr>
          <w:rFonts w:ascii="Aptos" w:hAnsi="Aptos" w:eastAsia="Aptos" w:cs="Aptos"/>
          <w:b/>
          <w:bCs/>
          <w:color w:val="000000" w:themeColor="text1"/>
        </w:rPr>
        <w:t>commerce</w:t>
      </w:r>
      <w:proofErr w:type="spellEnd"/>
      <w:r w:rsidRPr="00077B57">
        <w:rPr>
          <w:rFonts w:ascii="Aptos" w:hAnsi="Aptos" w:eastAsia="Aptos" w:cs="Aptos"/>
          <w:b/>
          <w:bCs/>
          <w:color w:val="000000" w:themeColor="text1"/>
        </w:rPr>
        <w:t xml:space="preserve"> “</w:t>
      </w:r>
      <w:r w:rsidRPr="00077B57" w:rsidR="40153219">
        <w:rPr>
          <w:rFonts w:ascii="Aptos" w:hAnsi="Aptos" w:eastAsia="Aptos" w:cs="Aptos"/>
          <w:b/>
          <w:bCs/>
          <w:color w:val="000000" w:themeColor="text1"/>
        </w:rPr>
        <w:t>económico</w:t>
      </w:r>
      <w:r w:rsidRPr="00077B57">
        <w:rPr>
          <w:rFonts w:ascii="Aptos" w:hAnsi="Aptos" w:eastAsia="Aptos" w:cs="Aptos"/>
          <w:b/>
          <w:bCs/>
          <w:color w:val="000000" w:themeColor="text1"/>
        </w:rPr>
        <w:t>”?</w:t>
      </w:r>
    </w:p>
    <w:p w:rsidR="005C20DB" w:rsidP="365A0218" w:rsidRDefault="59C259A6" w14:paraId="75ED8229" w14:textId="428C7DA2">
      <w:pPr>
        <w:spacing w:before="240" w:after="240"/>
        <w:jc w:val="both"/>
      </w:pPr>
      <w:r w:rsidRPr="365A0218">
        <w:rPr>
          <w:rFonts w:ascii="Aptos" w:hAnsi="Aptos" w:eastAsia="Aptos" w:cs="Aptos"/>
        </w:rPr>
        <w:t xml:space="preserve">En los últimos años, plataformas como </w:t>
      </w:r>
      <w:proofErr w:type="spellStart"/>
      <w:r w:rsidRPr="365A0218">
        <w:rPr>
          <w:rFonts w:ascii="Aptos" w:hAnsi="Aptos" w:eastAsia="Aptos" w:cs="Aptos"/>
        </w:rPr>
        <w:t>Shein</w:t>
      </w:r>
      <w:proofErr w:type="spellEnd"/>
      <w:r w:rsidRPr="365A0218">
        <w:rPr>
          <w:rFonts w:ascii="Aptos" w:hAnsi="Aptos" w:eastAsia="Aptos" w:cs="Aptos"/>
        </w:rPr>
        <w:t xml:space="preserve"> y Temu ganaron millones de usuarios en México ofreciendo precios muy por debajo de los promedios del mercado. Esto fue posible gracias a un modelo basado en </w:t>
      </w:r>
      <w:proofErr w:type="spellStart"/>
      <w:r w:rsidRPr="365A0218">
        <w:rPr>
          <w:rFonts w:ascii="Aptos" w:hAnsi="Aptos" w:eastAsia="Aptos" w:cs="Aptos"/>
        </w:rPr>
        <w:t>dropshipping</w:t>
      </w:r>
      <w:proofErr w:type="spellEnd"/>
      <w:r w:rsidRPr="365A0218">
        <w:rPr>
          <w:rFonts w:ascii="Aptos" w:hAnsi="Aptos" w:eastAsia="Aptos" w:cs="Aptos"/>
        </w:rPr>
        <w:t xml:space="preserve"> desde Asia, sin almacenes físicos en el país, y aprovechando un esquema arancelario más flexible para envíos de bajo valor.</w:t>
      </w:r>
    </w:p>
    <w:p w:rsidR="005C20DB" w:rsidP="365A0218" w:rsidRDefault="59C259A6" w14:paraId="4D44247D" w14:textId="0E166A79">
      <w:pPr>
        <w:spacing w:before="240" w:after="240"/>
        <w:jc w:val="both"/>
      </w:pPr>
      <w:r w:rsidRPr="02A44F0E">
        <w:rPr>
          <w:rFonts w:ascii="Aptos" w:hAnsi="Aptos" w:eastAsia="Aptos" w:cs="Aptos"/>
        </w:rPr>
        <w:t xml:space="preserve">Sin embargo, </w:t>
      </w:r>
      <w:r w:rsidRPr="02A44F0E" w:rsidR="76B00420">
        <w:rPr>
          <w:rFonts w:ascii="Aptos" w:hAnsi="Aptos" w:eastAsia="Aptos" w:cs="Aptos"/>
        </w:rPr>
        <w:t xml:space="preserve">Ilan </w:t>
      </w:r>
      <w:proofErr w:type="spellStart"/>
      <w:r w:rsidRPr="02A44F0E" w:rsidR="76B00420">
        <w:rPr>
          <w:rFonts w:ascii="Aptos" w:hAnsi="Aptos" w:eastAsia="Aptos" w:cs="Aptos"/>
        </w:rPr>
        <w:t>Epelbaum</w:t>
      </w:r>
      <w:proofErr w:type="spellEnd"/>
      <w:r w:rsidRPr="02A44F0E" w:rsidR="76B00420">
        <w:rPr>
          <w:rFonts w:ascii="Aptos" w:hAnsi="Aptos" w:eastAsia="Aptos" w:cs="Aptos"/>
        </w:rPr>
        <w:t xml:space="preserve"> explica que </w:t>
      </w:r>
      <w:r w:rsidRPr="02A44F0E">
        <w:rPr>
          <w:rFonts w:ascii="Aptos" w:hAnsi="Aptos" w:eastAsia="Aptos" w:cs="Aptos"/>
        </w:rPr>
        <w:t xml:space="preserve">el </w:t>
      </w:r>
      <w:r w:rsidRPr="02A44F0E">
        <w:rPr>
          <w:rFonts w:ascii="Aptos" w:hAnsi="Aptos" w:eastAsia="Aptos" w:cs="Aptos"/>
          <w:b/>
          <w:bCs/>
        </w:rPr>
        <w:t xml:space="preserve">nuevo arancel del 33.5 % </w:t>
      </w:r>
      <w:r w:rsidRPr="02A44F0E">
        <w:rPr>
          <w:rFonts w:ascii="Aptos" w:hAnsi="Aptos" w:eastAsia="Aptos" w:cs="Aptos"/>
        </w:rPr>
        <w:t>cambia esa lógica. El diferencial de precio ya no será tan amplio frente a opciones nacionales o a plataformas que operan bajo el T-MEC (como Amazon</w:t>
      </w:r>
      <w:r w:rsidRPr="02A44F0E" w:rsidR="346C77E7">
        <w:rPr>
          <w:rFonts w:ascii="Aptos" w:hAnsi="Aptos" w:eastAsia="Aptos" w:cs="Aptos"/>
        </w:rPr>
        <w:t xml:space="preserve"> y los </w:t>
      </w:r>
      <w:proofErr w:type="spellStart"/>
      <w:r w:rsidRPr="02A44F0E" w:rsidR="346C77E7">
        <w:rPr>
          <w:rFonts w:ascii="Aptos" w:hAnsi="Aptos" w:eastAsia="Aptos" w:cs="Aptos"/>
        </w:rPr>
        <w:t>retailers</w:t>
      </w:r>
      <w:proofErr w:type="spellEnd"/>
      <w:r w:rsidRPr="02A44F0E" w:rsidR="346C77E7">
        <w:rPr>
          <w:rFonts w:ascii="Aptos" w:hAnsi="Aptos" w:eastAsia="Aptos" w:cs="Aptos"/>
        </w:rPr>
        <w:t xml:space="preserve"> líderes</w:t>
      </w:r>
      <w:r w:rsidRPr="02A44F0E">
        <w:rPr>
          <w:rFonts w:ascii="Aptos" w:hAnsi="Aptos" w:eastAsia="Aptos" w:cs="Aptos"/>
        </w:rPr>
        <w:t xml:space="preserve">), cuyos productos están exentos o gravan solo el </w:t>
      </w:r>
      <w:r w:rsidRPr="02A44F0E">
        <w:rPr>
          <w:rFonts w:ascii="Aptos" w:hAnsi="Aptos" w:eastAsia="Aptos" w:cs="Aptos"/>
          <w:b/>
          <w:bCs/>
        </w:rPr>
        <w:t>17 %</w:t>
      </w:r>
      <w:r w:rsidRPr="02A44F0E">
        <w:rPr>
          <w:rFonts w:ascii="Aptos" w:hAnsi="Aptos" w:eastAsia="Aptos" w:cs="Aptos"/>
        </w:rPr>
        <w:t xml:space="preserve"> por estar respaldados por tratados de libre comercio.</w:t>
      </w:r>
    </w:p>
    <w:p w:rsidR="005C20DB" w:rsidP="365A0218" w:rsidRDefault="59C259A6" w14:paraId="0A50FB41" w14:textId="69525AAE">
      <w:pPr>
        <w:spacing w:before="240" w:after="240"/>
        <w:jc w:val="both"/>
        <w:rPr>
          <w:rFonts w:ascii="Aptos" w:hAnsi="Aptos" w:eastAsia="Aptos" w:cs="Aptos"/>
        </w:rPr>
      </w:pPr>
      <w:r w:rsidRPr="365A0218">
        <w:rPr>
          <w:rFonts w:ascii="Aptos" w:hAnsi="Aptos" w:eastAsia="Aptos" w:cs="Aptos"/>
        </w:rPr>
        <w:lastRenderedPageBreak/>
        <w:t xml:space="preserve">Este cambio no implica la desaparición de Temu o </w:t>
      </w:r>
      <w:proofErr w:type="spellStart"/>
      <w:r w:rsidRPr="365A0218">
        <w:rPr>
          <w:rFonts w:ascii="Aptos" w:hAnsi="Aptos" w:eastAsia="Aptos" w:cs="Aptos"/>
        </w:rPr>
        <w:t>Shein</w:t>
      </w:r>
      <w:proofErr w:type="spellEnd"/>
      <w:r w:rsidRPr="365A0218">
        <w:rPr>
          <w:rFonts w:ascii="Aptos" w:hAnsi="Aptos" w:eastAsia="Aptos" w:cs="Aptos"/>
        </w:rPr>
        <w:t xml:space="preserve"> en el mercado mexicano, pero sí puede reducir su ventaja estructural de precio. Es decir, </w:t>
      </w:r>
      <w:r w:rsidRPr="365A0218">
        <w:rPr>
          <w:rFonts w:ascii="Aptos" w:hAnsi="Aptos" w:eastAsia="Aptos" w:cs="Aptos"/>
          <w:b/>
          <w:bCs/>
        </w:rPr>
        <w:t>seguirán siendo accesibles, pero menos drásticamente económicos que antes</w:t>
      </w:r>
      <w:r w:rsidRPr="365A0218">
        <w:rPr>
          <w:rFonts w:ascii="Aptos" w:hAnsi="Aptos" w:eastAsia="Aptos" w:cs="Aptos"/>
        </w:rPr>
        <w:t>.</w:t>
      </w:r>
    </w:p>
    <w:p w:rsidR="005C20DB" w:rsidP="02A44F0E" w:rsidRDefault="59C259A6" w14:paraId="52D1D1F3" w14:textId="3E882294">
      <w:pPr>
        <w:spacing w:before="240" w:after="240"/>
        <w:jc w:val="both"/>
        <w:rPr>
          <w:rFonts w:ascii="Aptos" w:hAnsi="Aptos" w:eastAsia="Aptos" w:cs="Aptos"/>
        </w:rPr>
      </w:pPr>
      <w:r w:rsidRPr="02A44F0E">
        <w:rPr>
          <w:rFonts w:ascii="Aptos" w:hAnsi="Aptos" w:eastAsia="Aptos" w:cs="Aptos"/>
        </w:rPr>
        <w:t>“</w:t>
      </w:r>
      <w:r w:rsidRPr="02A44F0E">
        <w:rPr>
          <w:rFonts w:ascii="Aptos" w:hAnsi="Aptos" w:eastAsia="Aptos" w:cs="Aptos"/>
          <w:i/>
          <w:iCs/>
        </w:rPr>
        <w:t xml:space="preserve">Lo que está ocurriendo no es un castigo a ciertas marcas, sino una evolución natural del ecosistema comercial. Las reglas están cambiando para nivelar el terreno, y eso requiere una logística distinta, </w:t>
      </w:r>
      <w:r w:rsidRPr="02A44F0E" w:rsidR="00B65564">
        <w:rPr>
          <w:rFonts w:ascii="Aptos" w:hAnsi="Aptos" w:eastAsia="Aptos" w:cs="Aptos"/>
          <w:i/>
          <w:iCs/>
        </w:rPr>
        <w:t>más estratégica y enfocada</w:t>
      </w:r>
      <w:r w:rsidRPr="02A44F0E">
        <w:rPr>
          <w:rFonts w:ascii="Aptos" w:hAnsi="Aptos" w:eastAsia="Aptos" w:cs="Aptos"/>
          <w:i/>
          <w:iCs/>
        </w:rPr>
        <w:t xml:space="preserve"> en eficiencia regulatoria”</w:t>
      </w:r>
      <w:r w:rsidRPr="02A44F0E">
        <w:rPr>
          <w:rFonts w:ascii="Aptos" w:hAnsi="Aptos" w:eastAsia="Aptos" w:cs="Aptos"/>
        </w:rPr>
        <w:t xml:space="preserve">, señala </w:t>
      </w:r>
      <w:proofErr w:type="spellStart"/>
      <w:r w:rsidRPr="02A44F0E">
        <w:rPr>
          <w:rFonts w:ascii="Aptos" w:hAnsi="Aptos" w:eastAsia="Aptos" w:cs="Aptos"/>
        </w:rPr>
        <w:t>Epelbaum</w:t>
      </w:r>
      <w:proofErr w:type="spellEnd"/>
      <w:r w:rsidRPr="02A44F0E">
        <w:rPr>
          <w:rFonts w:ascii="Aptos" w:hAnsi="Aptos" w:eastAsia="Aptos" w:cs="Aptos"/>
        </w:rPr>
        <w:t>.</w:t>
      </w:r>
    </w:p>
    <w:p w:rsidRPr="00B65564" w:rsidR="005C20DB" w:rsidP="02A44F0E" w:rsidRDefault="59C259A6" w14:paraId="6196D37E" w14:textId="45D2FAC0">
      <w:pPr>
        <w:pStyle w:val="Ttulo3"/>
        <w:numPr>
          <w:ilvl w:val="0"/>
          <w:numId w:val="1"/>
        </w:numPr>
        <w:spacing w:before="281" w:after="281"/>
        <w:jc w:val="both"/>
        <w:rPr>
          <w:color w:val="000000" w:themeColor="text1"/>
        </w:rPr>
      </w:pPr>
      <w:r w:rsidRPr="00B65564">
        <w:rPr>
          <w:rFonts w:ascii="Aptos" w:hAnsi="Aptos" w:eastAsia="Aptos" w:cs="Aptos"/>
          <w:b/>
          <w:bCs/>
          <w:color w:val="000000" w:themeColor="text1"/>
        </w:rPr>
        <w:t>Implicaciones logísticas: un tema más allá del costo</w:t>
      </w:r>
    </w:p>
    <w:p w:rsidR="005C20DB" w:rsidP="365A0218" w:rsidRDefault="59C259A6" w14:paraId="22814A48" w14:textId="1E80D5DD">
      <w:pPr>
        <w:spacing w:before="240" w:after="240"/>
        <w:jc w:val="both"/>
      </w:pPr>
      <w:r w:rsidRPr="365A0218">
        <w:rPr>
          <w:rFonts w:ascii="Aptos" w:hAnsi="Aptos" w:eastAsia="Aptos" w:cs="Aptos"/>
        </w:rPr>
        <w:t xml:space="preserve">Detrás del ajuste arancelario hay una serie de implicaciones logísticas que impactan no solo a los </w:t>
      </w:r>
      <w:proofErr w:type="spellStart"/>
      <w:r w:rsidRPr="365A0218">
        <w:rPr>
          <w:rFonts w:ascii="Aptos" w:hAnsi="Aptos" w:eastAsia="Aptos" w:cs="Aptos"/>
        </w:rPr>
        <w:t>marketplaces</w:t>
      </w:r>
      <w:proofErr w:type="spellEnd"/>
      <w:r w:rsidRPr="365A0218">
        <w:rPr>
          <w:rFonts w:ascii="Aptos" w:hAnsi="Aptos" w:eastAsia="Aptos" w:cs="Aptos"/>
        </w:rPr>
        <w:t>, sino también a miles de PYMES mexicanas que dependen del comercio transfronterizo para importar insumos o productos terminados. Hoy, cualquier envío desde países sin TLC enfrenta:</w:t>
      </w:r>
    </w:p>
    <w:p w:rsidR="005C20DB" w:rsidP="365A0218" w:rsidRDefault="59C259A6" w14:paraId="373C5F8F" w14:textId="2D913B23">
      <w:pPr>
        <w:pStyle w:val="Prrafodelista"/>
        <w:numPr>
          <w:ilvl w:val="0"/>
          <w:numId w:val="3"/>
        </w:numPr>
        <w:spacing w:before="240" w:after="240"/>
        <w:jc w:val="both"/>
        <w:rPr>
          <w:rFonts w:ascii="Aptos" w:hAnsi="Aptos" w:eastAsia="Aptos" w:cs="Aptos"/>
        </w:rPr>
      </w:pPr>
      <w:r w:rsidRPr="365A0218">
        <w:rPr>
          <w:rFonts w:ascii="Aptos" w:hAnsi="Aptos" w:eastAsia="Aptos" w:cs="Aptos"/>
          <w:b/>
          <w:bCs/>
        </w:rPr>
        <w:t>Mayor documentación y tiempos de liberación aduanal</w:t>
      </w:r>
      <w:r w:rsidRPr="365A0218">
        <w:rPr>
          <w:rFonts w:ascii="Aptos" w:hAnsi="Aptos" w:eastAsia="Aptos" w:cs="Aptos"/>
        </w:rPr>
        <w:t>, al no estar cubierto por tratados preferenciales.</w:t>
      </w:r>
    </w:p>
    <w:p w:rsidR="005C20DB" w:rsidP="365A0218" w:rsidRDefault="59C259A6" w14:paraId="272C99C1" w14:textId="0258F30C">
      <w:pPr>
        <w:pStyle w:val="Prrafodelista"/>
        <w:numPr>
          <w:ilvl w:val="0"/>
          <w:numId w:val="3"/>
        </w:numPr>
        <w:spacing w:before="240" w:after="240"/>
        <w:jc w:val="both"/>
        <w:rPr>
          <w:rFonts w:ascii="Aptos" w:hAnsi="Aptos" w:eastAsia="Aptos" w:cs="Aptos"/>
        </w:rPr>
      </w:pPr>
      <w:r w:rsidRPr="02A44F0E">
        <w:rPr>
          <w:rFonts w:ascii="Aptos" w:hAnsi="Aptos" w:eastAsia="Aptos" w:cs="Aptos"/>
          <w:b/>
          <w:bCs/>
        </w:rPr>
        <w:t>Costos más altos por almacenaje temporal</w:t>
      </w:r>
      <w:r w:rsidRPr="02A44F0E">
        <w:rPr>
          <w:rFonts w:ascii="Aptos" w:hAnsi="Aptos" w:eastAsia="Aptos" w:cs="Aptos"/>
        </w:rPr>
        <w:t>.</w:t>
      </w:r>
    </w:p>
    <w:p w:rsidR="005C20DB" w:rsidP="365A0218" w:rsidRDefault="59C259A6" w14:paraId="037E09BD" w14:textId="50F06B64">
      <w:pPr>
        <w:pStyle w:val="Prrafodelista"/>
        <w:numPr>
          <w:ilvl w:val="0"/>
          <w:numId w:val="3"/>
        </w:numPr>
        <w:spacing w:before="240" w:after="240"/>
        <w:jc w:val="both"/>
        <w:rPr>
          <w:rFonts w:ascii="Aptos" w:hAnsi="Aptos" w:eastAsia="Aptos" w:cs="Aptos"/>
        </w:rPr>
      </w:pPr>
      <w:r w:rsidRPr="02A44F0E">
        <w:rPr>
          <w:rFonts w:ascii="Aptos" w:hAnsi="Aptos" w:eastAsia="Aptos" w:cs="Aptos"/>
          <w:b/>
          <w:bCs/>
        </w:rPr>
        <w:t>Necesidad de reorganizar rutas, proveedores o incluso categorías de importación</w:t>
      </w:r>
      <w:r w:rsidRPr="02A44F0E">
        <w:rPr>
          <w:rFonts w:ascii="Aptos" w:hAnsi="Aptos" w:eastAsia="Aptos" w:cs="Aptos"/>
        </w:rPr>
        <w:t>, para amortiguar el impacto.</w:t>
      </w:r>
    </w:p>
    <w:p w:rsidR="005C20DB" w:rsidP="02A44F0E" w:rsidRDefault="59C259A6" w14:paraId="02E3A1F2" w14:textId="484A832C">
      <w:pPr>
        <w:spacing w:before="240" w:after="240"/>
        <w:jc w:val="both"/>
        <w:rPr>
          <w:rFonts w:ascii="Aptos" w:hAnsi="Aptos" w:eastAsia="Aptos" w:cs="Aptos"/>
        </w:rPr>
      </w:pPr>
      <w:r w:rsidRPr="02A44F0E">
        <w:rPr>
          <w:rFonts w:ascii="Aptos" w:hAnsi="Aptos" w:eastAsia="Aptos" w:cs="Aptos"/>
        </w:rPr>
        <w:t xml:space="preserve">Desde la perspectiva de Mail Boxes </w:t>
      </w:r>
      <w:proofErr w:type="spellStart"/>
      <w:r w:rsidRPr="02A44F0E">
        <w:rPr>
          <w:rFonts w:ascii="Aptos" w:hAnsi="Aptos" w:eastAsia="Aptos" w:cs="Aptos"/>
        </w:rPr>
        <w:t>Etc</w:t>
      </w:r>
      <w:proofErr w:type="spellEnd"/>
      <w:r w:rsidRPr="02A44F0E">
        <w:rPr>
          <w:rFonts w:ascii="Aptos" w:hAnsi="Aptos" w:eastAsia="Aptos" w:cs="Aptos"/>
        </w:rPr>
        <w:t xml:space="preserve">, las medidas arancelarias son solo el </w:t>
      </w:r>
      <w:r w:rsidR="00513EC6">
        <w:rPr>
          <w:rFonts w:ascii="Aptos" w:hAnsi="Aptos" w:eastAsia="Aptos" w:cs="Aptos"/>
        </w:rPr>
        <w:t>inicio</w:t>
      </w:r>
      <w:r w:rsidRPr="02A44F0E">
        <w:rPr>
          <w:rFonts w:ascii="Aptos" w:hAnsi="Aptos" w:eastAsia="Aptos" w:cs="Aptos"/>
        </w:rPr>
        <w:t xml:space="preserve"> de una tendencia regional que busca reordenar el comercio electrónico con base en criterios de trazabilidad, equidad y formalidad.</w:t>
      </w:r>
    </w:p>
    <w:p w:rsidR="005C20DB" w:rsidP="02A44F0E" w:rsidRDefault="59C259A6" w14:paraId="3D826007" w14:textId="18BB3D65">
      <w:pPr>
        <w:spacing w:before="240" w:after="240"/>
        <w:jc w:val="both"/>
        <w:rPr>
          <w:rFonts w:ascii="Aptos" w:hAnsi="Aptos" w:eastAsia="Aptos" w:cs="Aptos"/>
        </w:rPr>
      </w:pPr>
      <w:r w:rsidRPr="02A44F0E">
        <w:rPr>
          <w:rFonts w:ascii="Aptos" w:hAnsi="Aptos" w:eastAsia="Aptos" w:cs="Aptos"/>
          <w:i/>
          <w:iCs/>
        </w:rPr>
        <w:t>“</w:t>
      </w:r>
      <w:r w:rsidRPr="02A44F0E" w:rsidR="2C8DB1B8">
        <w:rPr>
          <w:rFonts w:ascii="Aptos" w:hAnsi="Aptos" w:eastAsia="Aptos" w:cs="Aptos"/>
          <w:i/>
          <w:iCs/>
        </w:rPr>
        <w:t>V</w:t>
      </w:r>
      <w:r w:rsidRPr="02A44F0E">
        <w:rPr>
          <w:rFonts w:ascii="Aptos" w:hAnsi="Aptos" w:eastAsia="Aptos" w:cs="Aptos"/>
          <w:i/>
          <w:iCs/>
        </w:rPr>
        <w:t>eremos una reconfiguración en los patrones de importación en el último trimestre del año. No necesariamente menos paquetes, pero sí con otros orígenes, otros plazos y otros esquemas logísticos. Las marcas que entiendan esto a tiempo, y las empresas que las respalden, marcarán la pauta en 2026”</w:t>
      </w:r>
      <w:r w:rsidRPr="02A44F0E">
        <w:rPr>
          <w:rFonts w:ascii="Aptos" w:hAnsi="Aptos" w:eastAsia="Aptos" w:cs="Aptos"/>
        </w:rPr>
        <w:t xml:space="preserve">, concluye </w:t>
      </w:r>
      <w:proofErr w:type="spellStart"/>
      <w:r w:rsidRPr="02A44F0E">
        <w:rPr>
          <w:rFonts w:ascii="Aptos" w:hAnsi="Aptos" w:eastAsia="Aptos" w:cs="Aptos"/>
        </w:rPr>
        <w:t>Epelbaum</w:t>
      </w:r>
      <w:proofErr w:type="spellEnd"/>
      <w:r w:rsidRPr="02A44F0E">
        <w:rPr>
          <w:rFonts w:ascii="Aptos" w:hAnsi="Aptos" w:eastAsia="Aptos" w:cs="Aptos"/>
        </w:rPr>
        <w:t>.</w:t>
      </w:r>
    </w:p>
    <w:p w:rsidR="005C20DB" w:rsidP="02A44F0E" w:rsidRDefault="59C259A6" w14:paraId="5DB344A9" w14:textId="61390ED8">
      <w:pPr>
        <w:spacing w:before="240" w:after="240"/>
        <w:jc w:val="both"/>
        <w:rPr>
          <w:rFonts w:ascii="Aptos" w:hAnsi="Aptos" w:eastAsia="Aptos" w:cs="Aptos"/>
        </w:rPr>
      </w:pPr>
      <w:r w:rsidRPr="02A44F0E">
        <w:rPr>
          <w:rFonts w:ascii="Aptos" w:hAnsi="Aptos" w:eastAsia="Aptos" w:cs="Aptos"/>
        </w:rPr>
        <w:t xml:space="preserve">¿Seguirán Temu y </w:t>
      </w:r>
      <w:proofErr w:type="spellStart"/>
      <w:r w:rsidRPr="02A44F0E">
        <w:rPr>
          <w:rFonts w:ascii="Aptos" w:hAnsi="Aptos" w:eastAsia="Aptos" w:cs="Aptos"/>
        </w:rPr>
        <w:t>Shein</w:t>
      </w:r>
      <w:proofErr w:type="spellEnd"/>
      <w:r w:rsidRPr="02A44F0E">
        <w:rPr>
          <w:rFonts w:ascii="Aptos" w:hAnsi="Aptos" w:eastAsia="Aptos" w:cs="Aptos"/>
        </w:rPr>
        <w:t xml:space="preserve"> siendo los </w:t>
      </w:r>
      <w:proofErr w:type="spellStart"/>
      <w:r w:rsidRPr="02A44F0E">
        <w:rPr>
          <w:rFonts w:ascii="Aptos" w:hAnsi="Aptos" w:eastAsia="Aptos" w:cs="Aptos"/>
        </w:rPr>
        <w:t>marketplaces</w:t>
      </w:r>
      <w:proofErr w:type="spellEnd"/>
      <w:r w:rsidRPr="02A44F0E">
        <w:rPr>
          <w:rFonts w:ascii="Aptos" w:hAnsi="Aptos" w:eastAsia="Aptos" w:cs="Aptos"/>
        </w:rPr>
        <w:t xml:space="preserve"> más económicos del país? Probablemente sí, pero ya no en la misma proporción ni bajo las mismas condiciones. La nueva política arancelaria mexicana no busca frenar el comercio digital, sino transformarlo. Y en esa transformación, la logística —como herramienta estratégica y no solo operativa— jugará un rol determinante</w:t>
      </w:r>
      <w:r w:rsidRPr="02A44F0E" w:rsidR="24E3FBFC">
        <w:rPr>
          <w:rFonts w:ascii="Aptos" w:hAnsi="Aptos" w:eastAsia="Aptos" w:cs="Aptos"/>
        </w:rPr>
        <w:t>.</w:t>
      </w:r>
    </w:p>
    <w:p w:rsidR="0AE30B52" w:rsidP="02A44F0E" w:rsidRDefault="0AE30B52" w14:paraId="67E7622B" w14:textId="7834A526">
      <w:pPr>
        <w:spacing w:line="259" w:lineRule="auto"/>
        <w:jc w:val="center"/>
        <w:rPr>
          <w:rFonts w:ascii="Arial" w:hAnsi="Arial" w:eastAsia="Arial" w:cs="Arial"/>
          <w:color w:val="000000" w:themeColor="text1"/>
          <w:sz w:val="22"/>
          <w:szCs w:val="22"/>
        </w:rPr>
      </w:pPr>
      <w:r w:rsidRPr="02A44F0E">
        <w:rPr>
          <w:rFonts w:ascii="Arial" w:hAnsi="Arial" w:eastAsia="Arial" w:cs="Arial"/>
          <w:color w:val="000000" w:themeColor="text1"/>
          <w:sz w:val="22"/>
          <w:szCs w:val="22"/>
        </w:rPr>
        <w:t>-o0o-</w:t>
      </w:r>
    </w:p>
    <w:p w:rsidR="000D55F3" w:rsidP="02A44F0E" w:rsidRDefault="000D55F3" w14:paraId="0E489613" w14:textId="77777777">
      <w:pPr>
        <w:spacing w:line="259" w:lineRule="auto"/>
        <w:jc w:val="center"/>
        <w:rPr>
          <w:rFonts w:ascii="Arial" w:hAnsi="Arial" w:eastAsia="Arial" w:cs="Arial"/>
          <w:color w:val="000000" w:themeColor="text1"/>
          <w:sz w:val="22"/>
          <w:szCs w:val="22"/>
        </w:rPr>
      </w:pPr>
    </w:p>
    <w:p w:rsidR="0AE30B52" w:rsidP="02A44F0E" w:rsidRDefault="0AE30B52" w14:paraId="72C8350B" w14:textId="1780A581">
      <w:pPr>
        <w:spacing w:after="0" w:line="259" w:lineRule="auto"/>
        <w:ind w:left="-20" w:right="-20"/>
        <w:jc w:val="both"/>
        <w:rPr>
          <w:rFonts w:ascii="Arial" w:hAnsi="Arial" w:eastAsia="Arial" w:cs="Arial"/>
          <w:color w:val="000000" w:themeColor="text1"/>
          <w:sz w:val="20"/>
          <w:szCs w:val="20"/>
        </w:rPr>
      </w:pPr>
      <w:r w:rsidRPr="02A44F0E">
        <w:rPr>
          <w:rFonts w:ascii="Arial" w:hAnsi="Arial" w:eastAsia="Arial" w:cs="Arial"/>
          <w:b/>
          <w:bCs/>
          <w:color w:val="000000" w:themeColor="text1"/>
          <w:sz w:val="20"/>
          <w:szCs w:val="20"/>
          <w:u w:val="single"/>
        </w:rPr>
        <w:lastRenderedPageBreak/>
        <w:t>Acerca de Mail Boxes ETC</w:t>
      </w:r>
    </w:p>
    <w:p w:rsidR="0AE30B52" w:rsidP="02A44F0E" w:rsidRDefault="0AE30B52" w14:paraId="7F25851A" w14:textId="3C5E0185">
      <w:pPr>
        <w:spacing w:after="0" w:line="259" w:lineRule="auto"/>
        <w:ind w:left="-20" w:right="-20"/>
        <w:jc w:val="both"/>
        <w:rPr>
          <w:rFonts w:ascii="Arial" w:hAnsi="Arial" w:eastAsia="Arial" w:cs="Arial"/>
          <w:color w:val="000000" w:themeColor="text1"/>
          <w:sz w:val="20"/>
          <w:szCs w:val="20"/>
        </w:rPr>
      </w:pPr>
      <w:r w:rsidRPr="02A44F0E">
        <w:rPr>
          <w:rFonts w:ascii="Arial" w:hAnsi="Arial" w:eastAsia="Arial" w:cs="Arial"/>
          <w:color w:val="000000" w:themeColor="text1"/>
          <w:sz w:val="20"/>
          <w:szCs w:val="20"/>
        </w:rPr>
        <w:t>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0AE30B52" w:rsidP="02A44F0E" w:rsidRDefault="0AE30B52" w14:paraId="54C28646" w14:textId="5CB126CB">
      <w:pPr>
        <w:spacing w:before="240" w:after="240"/>
        <w:jc w:val="both"/>
        <w:rPr>
          <w:rFonts w:ascii="Aptos" w:hAnsi="Aptos" w:eastAsia="Aptos" w:cs="Aptos"/>
          <w:color w:val="000000" w:themeColor="text1"/>
        </w:rPr>
      </w:pPr>
      <w:r>
        <w:br/>
      </w:r>
    </w:p>
    <w:p w:rsidR="005C20DB" w:rsidRDefault="005C20DB" w14:paraId="5C1A07E2" w14:textId="23476B66"/>
    <w:sectPr w:rsidR="005C20DB">
      <w:headerReference w:type="default" r:id="rId12"/>
      <w:footerReference w:type="default" r:id="rId1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D55F3" w:rsidRDefault="000D55F3" w14:paraId="1D4301AC" w14:textId="77777777">
      <w:pPr>
        <w:spacing w:after="0" w:line="240" w:lineRule="auto"/>
      </w:pPr>
      <w:r>
        <w:separator/>
      </w:r>
    </w:p>
  </w:endnote>
  <w:endnote w:type="continuationSeparator" w:id="0">
    <w:p w:rsidR="000D55F3" w:rsidRDefault="000D55F3" w14:paraId="48671B3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2A44F0E" w:rsidTr="02A44F0E" w14:paraId="2596D13E" w14:textId="77777777">
      <w:trPr>
        <w:trHeight w:val="300"/>
      </w:trPr>
      <w:tc>
        <w:tcPr>
          <w:tcW w:w="3005" w:type="dxa"/>
        </w:tcPr>
        <w:p w:rsidR="02A44F0E" w:rsidP="02A44F0E" w:rsidRDefault="02A44F0E" w14:paraId="3E919A47" w14:textId="3394C151">
          <w:pPr>
            <w:pStyle w:val="Encabezado"/>
            <w:ind w:left="-115"/>
          </w:pPr>
        </w:p>
      </w:tc>
      <w:tc>
        <w:tcPr>
          <w:tcW w:w="3005" w:type="dxa"/>
        </w:tcPr>
        <w:p w:rsidR="02A44F0E" w:rsidP="02A44F0E" w:rsidRDefault="02A44F0E" w14:paraId="07CC1B4B" w14:textId="771367C2">
          <w:pPr>
            <w:pStyle w:val="Encabezado"/>
            <w:jc w:val="center"/>
          </w:pPr>
        </w:p>
      </w:tc>
      <w:tc>
        <w:tcPr>
          <w:tcW w:w="3005" w:type="dxa"/>
        </w:tcPr>
        <w:p w:rsidR="02A44F0E" w:rsidP="02A44F0E" w:rsidRDefault="02A44F0E" w14:paraId="2C0F6E34" w14:textId="740A1D32">
          <w:pPr>
            <w:pStyle w:val="Encabezado"/>
            <w:ind w:right="-115"/>
            <w:jc w:val="right"/>
          </w:pPr>
        </w:p>
      </w:tc>
    </w:tr>
  </w:tbl>
  <w:p w:rsidR="02A44F0E" w:rsidP="02A44F0E" w:rsidRDefault="02A44F0E" w14:paraId="31F77B87" w14:textId="169D45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D55F3" w:rsidRDefault="000D55F3" w14:paraId="48A02F06" w14:textId="77777777">
      <w:pPr>
        <w:spacing w:after="0" w:line="240" w:lineRule="auto"/>
      </w:pPr>
      <w:r>
        <w:separator/>
      </w:r>
    </w:p>
  </w:footnote>
  <w:footnote w:type="continuationSeparator" w:id="0">
    <w:p w:rsidR="000D55F3" w:rsidRDefault="000D55F3" w14:paraId="195E57D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2A44F0E" w:rsidTr="02A44F0E" w14:paraId="78D053E9" w14:textId="77777777">
      <w:trPr>
        <w:trHeight w:val="300"/>
      </w:trPr>
      <w:tc>
        <w:tcPr>
          <w:tcW w:w="3005" w:type="dxa"/>
        </w:tcPr>
        <w:p w:rsidR="02A44F0E" w:rsidP="02A44F0E" w:rsidRDefault="02A44F0E" w14:paraId="6DF011CB" w14:textId="122AFB40">
          <w:pPr>
            <w:ind w:left="-115"/>
          </w:pPr>
          <w:r>
            <w:rPr>
              <w:noProof/>
            </w:rPr>
            <w:drawing>
              <wp:inline distT="0" distB="0" distL="0" distR="0" wp14:anchorId="6A8A84A0" wp14:editId="3596DD14">
                <wp:extent cx="1428750" cy="742950"/>
                <wp:effectExtent l="0" t="0" r="0" b="0"/>
                <wp:docPr id="20695562" name="drawing" descr="Imagen, Imagen, Imagen, Imag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5562" name=""/>
                        <pic:cNvPicPr/>
                      </pic:nvPicPr>
                      <pic:blipFill>
                        <a:blip r:embed="rId1">
                          <a:extLst>
                            <a:ext uri="{28A0092B-C50C-407E-A947-70E740481C1C}">
                              <a14:useLocalDpi xmlns:a14="http://schemas.microsoft.com/office/drawing/2010/main" val="0"/>
                            </a:ext>
                          </a:extLst>
                        </a:blip>
                        <a:stretch>
                          <a:fillRect/>
                        </a:stretch>
                      </pic:blipFill>
                      <pic:spPr>
                        <a:xfrm>
                          <a:off x="0" y="0"/>
                          <a:ext cx="1428750" cy="742950"/>
                        </a:xfrm>
                        <a:prstGeom prst="rect">
                          <a:avLst/>
                        </a:prstGeom>
                      </pic:spPr>
                    </pic:pic>
                  </a:graphicData>
                </a:graphic>
              </wp:inline>
            </w:drawing>
          </w:r>
        </w:p>
      </w:tc>
      <w:tc>
        <w:tcPr>
          <w:tcW w:w="3005" w:type="dxa"/>
        </w:tcPr>
        <w:p w:rsidR="02A44F0E" w:rsidP="02A44F0E" w:rsidRDefault="02A44F0E" w14:paraId="058D1FE3" w14:textId="652188A2">
          <w:pPr>
            <w:pStyle w:val="Encabezado"/>
            <w:jc w:val="center"/>
          </w:pPr>
        </w:p>
      </w:tc>
      <w:tc>
        <w:tcPr>
          <w:tcW w:w="3005" w:type="dxa"/>
        </w:tcPr>
        <w:p w:rsidR="02A44F0E" w:rsidP="02A44F0E" w:rsidRDefault="02A44F0E" w14:paraId="14DFA6A7" w14:textId="0EAAE772">
          <w:pPr>
            <w:pStyle w:val="Encabezado"/>
            <w:ind w:right="-115"/>
            <w:jc w:val="right"/>
          </w:pPr>
        </w:p>
      </w:tc>
    </w:tr>
  </w:tbl>
  <w:p w:rsidR="02A44F0E" w:rsidP="02A44F0E" w:rsidRDefault="02A44F0E" w14:paraId="5C516236" w14:textId="02F4602F">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DB0339"/>
    <w:multiLevelType w:val="hybridMultilevel"/>
    <w:tmpl w:val="A9A00150"/>
    <w:lvl w:ilvl="0" w:tplc="B33488D2">
      <w:start w:val="1"/>
      <w:numFmt w:val="bullet"/>
      <w:lvlText w:val=""/>
      <w:lvlJc w:val="left"/>
      <w:pPr>
        <w:ind w:left="720" w:hanging="360"/>
      </w:pPr>
      <w:rPr>
        <w:rFonts w:hint="default" w:ascii="Symbol" w:hAnsi="Symbol"/>
      </w:rPr>
    </w:lvl>
    <w:lvl w:ilvl="1" w:tplc="7658710C">
      <w:start w:val="1"/>
      <w:numFmt w:val="bullet"/>
      <w:lvlText w:val="o"/>
      <w:lvlJc w:val="left"/>
      <w:pPr>
        <w:ind w:left="1440" w:hanging="360"/>
      </w:pPr>
      <w:rPr>
        <w:rFonts w:hint="default" w:ascii="Courier New" w:hAnsi="Courier New"/>
      </w:rPr>
    </w:lvl>
    <w:lvl w:ilvl="2" w:tplc="69B8332C">
      <w:start w:val="1"/>
      <w:numFmt w:val="bullet"/>
      <w:lvlText w:val=""/>
      <w:lvlJc w:val="left"/>
      <w:pPr>
        <w:ind w:left="2160" w:hanging="360"/>
      </w:pPr>
      <w:rPr>
        <w:rFonts w:hint="default" w:ascii="Wingdings" w:hAnsi="Wingdings"/>
      </w:rPr>
    </w:lvl>
    <w:lvl w:ilvl="3" w:tplc="858A89E0">
      <w:start w:val="1"/>
      <w:numFmt w:val="bullet"/>
      <w:lvlText w:val=""/>
      <w:lvlJc w:val="left"/>
      <w:pPr>
        <w:ind w:left="2880" w:hanging="360"/>
      </w:pPr>
      <w:rPr>
        <w:rFonts w:hint="default" w:ascii="Symbol" w:hAnsi="Symbol"/>
      </w:rPr>
    </w:lvl>
    <w:lvl w:ilvl="4" w:tplc="CC986EA4">
      <w:start w:val="1"/>
      <w:numFmt w:val="bullet"/>
      <w:lvlText w:val="o"/>
      <w:lvlJc w:val="left"/>
      <w:pPr>
        <w:ind w:left="3600" w:hanging="360"/>
      </w:pPr>
      <w:rPr>
        <w:rFonts w:hint="default" w:ascii="Courier New" w:hAnsi="Courier New"/>
      </w:rPr>
    </w:lvl>
    <w:lvl w:ilvl="5" w:tplc="088E8C52">
      <w:start w:val="1"/>
      <w:numFmt w:val="bullet"/>
      <w:lvlText w:val=""/>
      <w:lvlJc w:val="left"/>
      <w:pPr>
        <w:ind w:left="4320" w:hanging="360"/>
      </w:pPr>
      <w:rPr>
        <w:rFonts w:hint="default" w:ascii="Wingdings" w:hAnsi="Wingdings"/>
      </w:rPr>
    </w:lvl>
    <w:lvl w:ilvl="6" w:tplc="A1A822FE">
      <w:start w:val="1"/>
      <w:numFmt w:val="bullet"/>
      <w:lvlText w:val=""/>
      <w:lvlJc w:val="left"/>
      <w:pPr>
        <w:ind w:left="5040" w:hanging="360"/>
      </w:pPr>
      <w:rPr>
        <w:rFonts w:hint="default" w:ascii="Symbol" w:hAnsi="Symbol"/>
      </w:rPr>
    </w:lvl>
    <w:lvl w:ilvl="7" w:tplc="EAD46FCE">
      <w:start w:val="1"/>
      <w:numFmt w:val="bullet"/>
      <w:lvlText w:val="o"/>
      <w:lvlJc w:val="left"/>
      <w:pPr>
        <w:ind w:left="5760" w:hanging="360"/>
      </w:pPr>
      <w:rPr>
        <w:rFonts w:hint="default" w:ascii="Courier New" w:hAnsi="Courier New"/>
      </w:rPr>
    </w:lvl>
    <w:lvl w:ilvl="8" w:tplc="B84A9D58">
      <w:start w:val="1"/>
      <w:numFmt w:val="bullet"/>
      <w:lvlText w:val=""/>
      <w:lvlJc w:val="left"/>
      <w:pPr>
        <w:ind w:left="6480" w:hanging="360"/>
      </w:pPr>
      <w:rPr>
        <w:rFonts w:hint="default" w:ascii="Wingdings" w:hAnsi="Wingdings"/>
      </w:rPr>
    </w:lvl>
  </w:abstractNum>
  <w:abstractNum w:abstractNumId="1" w15:restartNumberingAfterBreak="0">
    <w:nsid w:val="64DC9618"/>
    <w:multiLevelType w:val="hybridMultilevel"/>
    <w:tmpl w:val="46081D0C"/>
    <w:lvl w:ilvl="0" w:tplc="9C2CD548">
      <w:start w:val="1"/>
      <w:numFmt w:val="bullet"/>
      <w:lvlText w:val=""/>
      <w:lvlJc w:val="left"/>
      <w:pPr>
        <w:ind w:left="720" w:hanging="360"/>
      </w:pPr>
      <w:rPr>
        <w:rFonts w:hint="default" w:ascii="Symbol" w:hAnsi="Symbol"/>
      </w:rPr>
    </w:lvl>
    <w:lvl w:ilvl="1" w:tplc="E9FCFE0E">
      <w:start w:val="1"/>
      <w:numFmt w:val="bullet"/>
      <w:lvlText w:val="o"/>
      <w:lvlJc w:val="left"/>
      <w:pPr>
        <w:ind w:left="1440" w:hanging="360"/>
      </w:pPr>
      <w:rPr>
        <w:rFonts w:hint="default" w:ascii="Courier New" w:hAnsi="Courier New"/>
      </w:rPr>
    </w:lvl>
    <w:lvl w:ilvl="2" w:tplc="176AB330">
      <w:start w:val="1"/>
      <w:numFmt w:val="bullet"/>
      <w:lvlText w:val=""/>
      <w:lvlJc w:val="left"/>
      <w:pPr>
        <w:ind w:left="2160" w:hanging="360"/>
      </w:pPr>
      <w:rPr>
        <w:rFonts w:hint="default" w:ascii="Wingdings" w:hAnsi="Wingdings"/>
      </w:rPr>
    </w:lvl>
    <w:lvl w:ilvl="3" w:tplc="C062221E">
      <w:start w:val="1"/>
      <w:numFmt w:val="bullet"/>
      <w:lvlText w:val=""/>
      <w:lvlJc w:val="left"/>
      <w:pPr>
        <w:ind w:left="2880" w:hanging="360"/>
      </w:pPr>
      <w:rPr>
        <w:rFonts w:hint="default" w:ascii="Symbol" w:hAnsi="Symbol"/>
      </w:rPr>
    </w:lvl>
    <w:lvl w:ilvl="4" w:tplc="54F848F4">
      <w:start w:val="1"/>
      <w:numFmt w:val="bullet"/>
      <w:lvlText w:val="o"/>
      <w:lvlJc w:val="left"/>
      <w:pPr>
        <w:ind w:left="3600" w:hanging="360"/>
      </w:pPr>
      <w:rPr>
        <w:rFonts w:hint="default" w:ascii="Courier New" w:hAnsi="Courier New"/>
      </w:rPr>
    </w:lvl>
    <w:lvl w:ilvl="5" w:tplc="24FE9270">
      <w:start w:val="1"/>
      <w:numFmt w:val="bullet"/>
      <w:lvlText w:val=""/>
      <w:lvlJc w:val="left"/>
      <w:pPr>
        <w:ind w:left="4320" w:hanging="360"/>
      </w:pPr>
      <w:rPr>
        <w:rFonts w:hint="default" w:ascii="Wingdings" w:hAnsi="Wingdings"/>
      </w:rPr>
    </w:lvl>
    <w:lvl w:ilvl="6" w:tplc="622CBD36">
      <w:start w:val="1"/>
      <w:numFmt w:val="bullet"/>
      <w:lvlText w:val=""/>
      <w:lvlJc w:val="left"/>
      <w:pPr>
        <w:ind w:left="5040" w:hanging="360"/>
      </w:pPr>
      <w:rPr>
        <w:rFonts w:hint="default" w:ascii="Symbol" w:hAnsi="Symbol"/>
      </w:rPr>
    </w:lvl>
    <w:lvl w:ilvl="7" w:tplc="66C28840">
      <w:start w:val="1"/>
      <w:numFmt w:val="bullet"/>
      <w:lvlText w:val="o"/>
      <w:lvlJc w:val="left"/>
      <w:pPr>
        <w:ind w:left="5760" w:hanging="360"/>
      </w:pPr>
      <w:rPr>
        <w:rFonts w:hint="default" w:ascii="Courier New" w:hAnsi="Courier New"/>
      </w:rPr>
    </w:lvl>
    <w:lvl w:ilvl="8" w:tplc="650A8654">
      <w:start w:val="1"/>
      <w:numFmt w:val="bullet"/>
      <w:lvlText w:val=""/>
      <w:lvlJc w:val="left"/>
      <w:pPr>
        <w:ind w:left="6480" w:hanging="360"/>
      </w:pPr>
      <w:rPr>
        <w:rFonts w:hint="default" w:ascii="Wingdings" w:hAnsi="Wingdings"/>
      </w:rPr>
    </w:lvl>
  </w:abstractNum>
  <w:abstractNum w:abstractNumId="2" w15:restartNumberingAfterBreak="0">
    <w:nsid w:val="7033615A"/>
    <w:multiLevelType w:val="hybridMultilevel"/>
    <w:tmpl w:val="B46C0A86"/>
    <w:lvl w:ilvl="0" w:tplc="397A549C">
      <w:start w:val="1"/>
      <w:numFmt w:val="bullet"/>
      <w:lvlText w:val=""/>
      <w:lvlJc w:val="left"/>
      <w:pPr>
        <w:ind w:left="720" w:hanging="360"/>
      </w:pPr>
      <w:rPr>
        <w:rFonts w:hint="default" w:ascii="Symbol" w:hAnsi="Symbol"/>
      </w:rPr>
    </w:lvl>
    <w:lvl w:ilvl="1" w:tplc="4C4673AE">
      <w:start w:val="1"/>
      <w:numFmt w:val="bullet"/>
      <w:lvlText w:val="o"/>
      <w:lvlJc w:val="left"/>
      <w:pPr>
        <w:ind w:left="1440" w:hanging="360"/>
      </w:pPr>
      <w:rPr>
        <w:rFonts w:hint="default" w:ascii="Courier New" w:hAnsi="Courier New"/>
      </w:rPr>
    </w:lvl>
    <w:lvl w:ilvl="2" w:tplc="3814A374">
      <w:start w:val="1"/>
      <w:numFmt w:val="bullet"/>
      <w:lvlText w:val=""/>
      <w:lvlJc w:val="left"/>
      <w:pPr>
        <w:ind w:left="2160" w:hanging="360"/>
      </w:pPr>
      <w:rPr>
        <w:rFonts w:hint="default" w:ascii="Wingdings" w:hAnsi="Wingdings"/>
      </w:rPr>
    </w:lvl>
    <w:lvl w:ilvl="3" w:tplc="295E66B2">
      <w:start w:val="1"/>
      <w:numFmt w:val="bullet"/>
      <w:lvlText w:val=""/>
      <w:lvlJc w:val="left"/>
      <w:pPr>
        <w:ind w:left="2880" w:hanging="360"/>
      </w:pPr>
      <w:rPr>
        <w:rFonts w:hint="default" w:ascii="Symbol" w:hAnsi="Symbol"/>
      </w:rPr>
    </w:lvl>
    <w:lvl w:ilvl="4" w:tplc="1390DB4E">
      <w:start w:val="1"/>
      <w:numFmt w:val="bullet"/>
      <w:lvlText w:val="o"/>
      <w:lvlJc w:val="left"/>
      <w:pPr>
        <w:ind w:left="3600" w:hanging="360"/>
      </w:pPr>
      <w:rPr>
        <w:rFonts w:hint="default" w:ascii="Courier New" w:hAnsi="Courier New"/>
      </w:rPr>
    </w:lvl>
    <w:lvl w:ilvl="5" w:tplc="BF42D678">
      <w:start w:val="1"/>
      <w:numFmt w:val="bullet"/>
      <w:lvlText w:val=""/>
      <w:lvlJc w:val="left"/>
      <w:pPr>
        <w:ind w:left="4320" w:hanging="360"/>
      </w:pPr>
      <w:rPr>
        <w:rFonts w:hint="default" w:ascii="Wingdings" w:hAnsi="Wingdings"/>
      </w:rPr>
    </w:lvl>
    <w:lvl w:ilvl="6" w:tplc="53348AA4">
      <w:start w:val="1"/>
      <w:numFmt w:val="bullet"/>
      <w:lvlText w:val=""/>
      <w:lvlJc w:val="left"/>
      <w:pPr>
        <w:ind w:left="5040" w:hanging="360"/>
      </w:pPr>
      <w:rPr>
        <w:rFonts w:hint="default" w:ascii="Symbol" w:hAnsi="Symbol"/>
      </w:rPr>
    </w:lvl>
    <w:lvl w:ilvl="7" w:tplc="2678315E">
      <w:start w:val="1"/>
      <w:numFmt w:val="bullet"/>
      <w:lvlText w:val="o"/>
      <w:lvlJc w:val="left"/>
      <w:pPr>
        <w:ind w:left="5760" w:hanging="360"/>
      </w:pPr>
      <w:rPr>
        <w:rFonts w:hint="default" w:ascii="Courier New" w:hAnsi="Courier New"/>
      </w:rPr>
    </w:lvl>
    <w:lvl w:ilvl="8" w:tplc="400A4B0A">
      <w:start w:val="1"/>
      <w:numFmt w:val="bullet"/>
      <w:lvlText w:val=""/>
      <w:lvlJc w:val="left"/>
      <w:pPr>
        <w:ind w:left="6480" w:hanging="360"/>
      </w:pPr>
      <w:rPr>
        <w:rFonts w:hint="default" w:ascii="Wingdings" w:hAnsi="Wingdings"/>
      </w:rPr>
    </w:lvl>
  </w:abstractNum>
  <w:num w:numId="1" w16cid:durableId="153381902">
    <w:abstractNumId w:val="2"/>
  </w:num>
  <w:num w:numId="2" w16cid:durableId="2025739291">
    <w:abstractNumId w:val="1"/>
  </w:num>
  <w:num w:numId="3" w16cid:durableId="74364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D7977B"/>
    <w:rsid w:val="00077B57"/>
    <w:rsid w:val="000D55F3"/>
    <w:rsid w:val="00513EC6"/>
    <w:rsid w:val="005C20DB"/>
    <w:rsid w:val="008C7607"/>
    <w:rsid w:val="00B65564"/>
    <w:rsid w:val="02A44F0E"/>
    <w:rsid w:val="077844E7"/>
    <w:rsid w:val="08051624"/>
    <w:rsid w:val="0AE30B52"/>
    <w:rsid w:val="15BF7A84"/>
    <w:rsid w:val="1F8B9F6D"/>
    <w:rsid w:val="21503EBE"/>
    <w:rsid w:val="24E3FBFC"/>
    <w:rsid w:val="27DB5C75"/>
    <w:rsid w:val="29C695B7"/>
    <w:rsid w:val="2C8DB1B8"/>
    <w:rsid w:val="2E3D7BDB"/>
    <w:rsid w:val="3327B3AF"/>
    <w:rsid w:val="346C77E7"/>
    <w:rsid w:val="365A0218"/>
    <w:rsid w:val="39143EEE"/>
    <w:rsid w:val="40153219"/>
    <w:rsid w:val="41E0273A"/>
    <w:rsid w:val="44510592"/>
    <w:rsid w:val="4B6C652C"/>
    <w:rsid w:val="4E8A792C"/>
    <w:rsid w:val="5331D00A"/>
    <w:rsid w:val="577B95A6"/>
    <w:rsid w:val="59C259A6"/>
    <w:rsid w:val="5AF30682"/>
    <w:rsid w:val="69221A5B"/>
    <w:rsid w:val="69858F9D"/>
    <w:rsid w:val="7652B61E"/>
    <w:rsid w:val="76B00420"/>
    <w:rsid w:val="76E84A6C"/>
    <w:rsid w:val="774FE672"/>
    <w:rsid w:val="79757549"/>
    <w:rsid w:val="7CB97CC2"/>
    <w:rsid w:val="7ED797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977B"/>
  <w15:chartTrackingRefBased/>
  <w15:docId w15:val="{9F48D0C9-FEC3-45EA-A95B-FC25E6CB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3">
    <w:name w:val="heading 3"/>
    <w:basedOn w:val="Normal"/>
    <w:next w:val="Normal"/>
    <w:uiPriority w:val="9"/>
    <w:unhideWhenUsed/>
    <w:qFormat/>
    <w:rsid w:val="365A0218"/>
    <w:pPr>
      <w:keepNext/>
      <w:keepLines/>
      <w:spacing w:before="160" w:after="80"/>
      <w:outlineLvl w:val="2"/>
    </w:pPr>
    <w:rPr>
      <w:rFonts w:eastAsiaTheme="majorEastAsia" w:cstheme="majorBidi"/>
      <w:color w:val="0F4761" w:themeColor="accent1" w:themeShade="BF"/>
      <w:sz w:val="28"/>
      <w:szCs w:val="2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365A0218"/>
    <w:pPr>
      <w:ind w:left="720"/>
      <w:contextualSpacing/>
    </w:pPr>
  </w:style>
  <w:style w:type="character" w:styleId="Hipervnculo">
    <w:name w:val="Hyperlink"/>
    <w:basedOn w:val="Fuentedeprrafopredeter"/>
    <w:uiPriority w:val="99"/>
    <w:unhideWhenUsed/>
    <w:rsid w:val="02A44F0E"/>
    <w:rPr>
      <w:color w:val="467886"/>
      <w:u w:val="single"/>
    </w:rPr>
  </w:style>
  <w:style w:type="paragraph" w:styleId="Encabezado">
    <w:name w:val="header"/>
    <w:basedOn w:val="Normal"/>
    <w:uiPriority w:val="99"/>
    <w:unhideWhenUsed/>
    <w:rsid w:val="02A44F0E"/>
    <w:pPr>
      <w:tabs>
        <w:tab w:val="center" w:pos="4680"/>
        <w:tab w:val="right" w:pos="9360"/>
      </w:tabs>
      <w:spacing w:after="0" w:line="240" w:lineRule="auto"/>
    </w:pPr>
  </w:style>
  <w:style w:type="paragraph" w:styleId="Piedepgina">
    <w:name w:val="footer"/>
    <w:basedOn w:val="Normal"/>
    <w:uiPriority w:val="99"/>
    <w:unhideWhenUsed/>
    <w:rsid w:val="02A44F0E"/>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dataglobehub.com/temu-statistics-and-insights/"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dof.gob.mx/busqueda_detalle.php?BUSCAR_EN=T&amp;TIPO_TEXTO=Y&amp;textobusqueda=arancel&amp;vienede=avanzada"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1" ma:contentTypeDescription="Create a new document." ma:contentTypeScope="" ma:versionID="ce0a5456dca832e595850f58b172f363">
  <xsd:schema xmlns:xsd="http://www.w3.org/2001/XMLSchema" xmlns:xs="http://www.w3.org/2001/XMLSchema" xmlns:p="http://schemas.microsoft.com/office/2006/metadata/properties" xmlns:ns2="549d9b32-086f-4d1d-a400-c5b4faa47054" targetNamespace="http://schemas.microsoft.com/office/2006/metadata/properties" ma:root="true" ma:fieldsID="b53d0a8ec060fa3a51b90ca2be2180a4"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39D27-05BD-44C2-9AA5-1328187F0FE4}">
  <ds:schemaRefs>
    <ds:schemaRef ds:uri="http://schemas.microsoft.com/office/2006/metadata/properties"/>
    <ds:schemaRef ds:uri="http://schemas.microsoft.com/office/infopath/2007/PartnerControls"/>
    <ds:schemaRef ds:uri="549d9b32-086f-4d1d-a400-c5b4faa47054"/>
  </ds:schemaRefs>
</ds:datastoreItem>
</file>

<file path=customXml/itemProps2.xml><?xml version="1.0" encoding="utf-8"?>
<ds:datastoreItem xmlns:ds="http://schemas.openxmlformats.org/officeDocument/2006/customXml" ds:itemID="{40285832-A3DE-4200-A95F-9FCA2B6C8670}">
  <ds:schemaRefs>
    <ds:schemaRef ds:uri="http://schemas.microsoft.com/sharepoint/v3/contenttype/forms"/>
  </ds:schemaRefs>
</ds:datastoreItem>
</file>

<file path=customXml/itemProps3.xml><?xml version="1.0" encoding="utf-8"?>
<ds:datastoreItem xmlns:ds="http://schemas.openxmlformats.org/officeDocument/2006/customXml" ds:itemID="{BF282073-2820-41DE-A0C0-F434DC8735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Ortega Jaime</dc:creator>
  <cp:keywords/>
  <dc:description/>
  <cp:lastModifiedBy>Rodrigo Plata</cp:lastModifiedBy>
  <cp:revision>7</cp:revision>
  <dcterms:created xsi:type="dcterms:W3CDTF">2025-08-28T17:26:00Z</dcterms:created>
  <dcterms:modified xsi:type="dcterms:W3CDTF">2025-09-04T22:11:51Z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